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A9" w:rsidRDefault="005607A9" w:rsidP="005607A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Vyhodnocení provozu protikorupční linky</w:t>
      </w:r>
      <w:r w:rsidRPr="005E6215">
        <w:rPr>
          <w:rFonts w:ascii="Times New Roman" w:eastAsia="Times New Roman" w:hAnsi="Times New Roman" w:cs="Times New Roman"/>
          <w:b/>
          <w:sz w:val="24"/>
          <w:szCs w:val="24"/>
          <w:u w:val="single"/>
        </w:rPr>
        <w:t xml:space="preserve"> MO</w:t>
      </w:r>
      <w:r>
        <w:rPr>
          <w:rFonts w:ascii="Times New Roman" w:eastAsia="Times New Roman" w:hAnsi="Times New Roman" w:cs="Times New Roman"/>
          <w:b/>
          <w:sz w:val="24"/>
          <w:szCs w:val="24"/>
          <w:u w:val="single"/>
        </w:rPr>
        <w:t xml:space="preserve"> (PKL) za rok 2014</w:t>
      </w:r>
    </w:p>
    <w:p w:rsidR="005607A9" w:rsidRPr="005E6215" w:rsidRDefault="005607A9" w:rsidP="005607A9">
      <w:pPr>
        <w:spacing w:after="120" w:line="240" w:lineRule="auto"/>
        <w:jc w:val="center"/>
        <w:rPr>
          <w:rFonts w:ascii="Times New Roman" w:eastAsia="Times New Roman" w:hAnsi="Times New Roman" w:cs="Times New Roman"/>
          <w:b/>
          <w:sz w:val="24"/>
          <w:szCs w:val="24"/>
          <w:u w:val="single"/>
        </w:rPr>
      </w:pPr>
    </w:p>
    <w:p w:rsidR="005607A9" w:rsidRDefault="005607A9" w:rsidP="005607A9">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2014</w:t>
      </w:r>
      <w:r w:rsidRPr="005E6215">
        <w:rPr>
          <w:rFonts w:ascii="Times New Roman" w:eastAsia="Times New Roman" w:hAnsi="Times New Roman" w:cs="Times New Roman"/>
          <w:sz w:val="24"/>
          <w:szCs w:val="24"/>
        </w:rPr>
        <w:t xml:space="preserve"> bylo na PKL přijato </w:t>
      </w:r>
      <w:r>
        <w:rPr>
          <w:rFonts w:ascii="Times New Roman" w:eastAsia="Times New Roman" w:hAnsi="Times New Roman" w:cs="Times New Roman"/>
          <w:b/>
          <w:sz w:val="24"/>
          <w:szCs w:val="24"/>
        </w:rPr>
        <w:t>celkem 24</w:t>
      </w:r>
      <w:r w:rsidRPr="005E6215">
        <w:rPr>
          <w:rFonts w:ascii="Times New Roman" w:eastAsia="Times New Roman" w:hAnsi="Times New Roman" w:cs="Times New Roman"/>
          <w:sz w:val="24"/>
          <w:szCs w:val="24"/>
        </w:rPr>
        <w:t xml:space="preserve"> podání, z nichž </w:t>
      </w:r>
      <w:r>
        <w:rPr>
          <w:rFonts w:ascii="Times New Roman" w:eastAsia="Times New Roman" w:hAnsi="Times New Roman" w:cs="Times New Roman"/>
          <w:b/>
          <w:sz w:val="24"/>
          <w:szCs w:val="24"/>
        </w:rPr>
        <w:t>8</w:t>
      </w:r>
      <w:r w:rsidRPr="005E6215">
        <w:rPr>
          <w:rFonts w:ascii="Times New Roman" w:eastAsia="Times New Roman" w:hAnsi="Times New Roman" w:cs="Times New Roman"/>
          <w:sz w:val="24"/>
          <w:szCs w:val="24"/>
        </w:rPr>
        <w:t xml:space="preserve"> bylo </w:t>
      </w:r>
      <w:r w:rsidRPr="0039626D">
        <w:rPr>
          <w:rFonts w:ascii="Times New Roman" w:eastAsia="Times New Roman" w:hAnsi="Times New Roman" w:cs="Times New Roman"/>
          <w:b/>
          <w:sz w:val="24"/>
          <w:szCs w:val="24"/>
        </w:rPr>
        <w:t>anonymních</w:t>
      </w:r>
      <w:r w:rsidRPr="005E62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Díky propagaci protikorupční linky v resortních mediích se projevila vzestupná tendence.</w:t>
      </w:r>
      <w:r w:rsidRPr="005E6215">
        <w:rPr>
          <w:rFonts w:ascii="Times New Roman" w:eastAsia="Times New Roman" w:hAnsi="Times New Roman" w:cs="Times New Roman"/>
          <w:sz w:val="24"/>
          <w:szCs w:val="24"/>
        </w:rPr>
        <w:t xml:space="preserve"> </w:t>
      </w:r>
    </w:p>
    <w:p w:rsidR="005607A9" w:rsidRDefault="005607A9" w:rsidP="005607A9">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607A9" w:rsidRPr="00972ACD" w:rsidRDefault="005607A9" w:rsidP="005607A9">
      <w:pPr>
        <w:spacing w:after="12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72ACD">
        <w:rPr>
          <w:rFonts w:ascii="Times New Roman" w:eastAsia="Times New Roman" w:hAnsi="Times New Roman" w:cs="Times New Roman"/>
          <w:b/>
          <w:sz w:val="24"/>
          <w:szCs w:val="24"/>
        </w:rPr>
        <w:t>Počet podání v letech 2010 – 2014</w:t>
      </w:r>
    </w:p>
    <w:p w:rsidR="005607A9" w:rsidRDefault="005607A9" w:rsidP="005607A9">
      <w:pPr>
        <w:spacing w:after="120" w:line="240" w:lineRule="auto"/>
        <w:jc w:val="both"/>
        <w:rPr>
          <w:rFonts w:ascii="Times New Roman" w:eastAsia="Times New Roman" w:hAnsi="Times New Roman" w:cs="Times New Roman"/>
          <w:sz w:val="24"/>
          <w:szCs w:val="24"/>
        </w:rPr>
      </w:pPr>
      <w:r>
        <w:rPr>
          <w:noProof/>
        </w:rPr>
        <w:drawing>
          <wp:inline distT="0" distB="0" distL="0" distR="0" wp14:anchorId="6EF41941" wp14:editId="2579C122">
            <wp:extent cx="5695950" cy="23241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607A9" w:rsidRPr="005E6215" w:rsidRDefault="005607A9" w:rsidP="005607A9">
      <w:pPr>
        <w:spacing w:after="120" w:line="240" w:lineRule="auto"/>
        <w:jc w:val="both"/>
        <w:rPr>
          <w:rFonts w:ascii="Times New Roman" w:eastAsia="Times New Roman" w:hAnsi="Times New Roman" w:cs="Times New Roman"/>
          <w:sz w:val="24"/>
          <w:szCs w:val="24"/>
        </w:rPr>
      </w:pPr>
    </w:p>
    <w:p w:rsidR="005607A9" w:rsidRDefault="005607A9" w:rsidP="005607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Několik obdržených podnětů se týkalo </w:t>
      </w:r>
      <w:r>
        <w:rPr>
          <w:rFonts w:ascii="Times New Roman" w:eastAsia="Times New Roman" w:hAnsi="Times New Roman" w:cs="Times New Roman"/>
          <w:b/>
          <w:sz w:val="24"/>
          <w:szCs w:val="24"/>
        </w:rPr>
        <w:t>veřejných zakázek</w:t>
      </w:r>
      <w:r>
        <w:rPr>
          <w:rFonts w:ascii="Times New Roman" w:eastAsia="Times New Roman" w:hAnsi="Times New Roman" w:cs="Times New Roman"/>
          <w:sz w:val="24"/>
          <w:szCs w:val="24"/>
        </w:rPr>
        <w:t xml:space="preserve"> realizovaných resortem obrany, konkrétně pisatelé upozorňovali na nestandardní výběr uchazečů, nestandardní zrušení výběrového řízení na kancelářské potřeby, manipulaci veřejné zakázky na zimní bundy, zadávací podmínky veřejné zakázky na ražbu pamětních mincí, nestandardní zakázky na IT služby a s tím související vztahy zaměstnance Ministerstva obrany s dlouholetými dodavateli informačních technologií, neobjektivní činnost při zadávání veřejné zak</w:t>
      </w:r>
      <w:r w:rsidR="00BA45E4">
        <w:rPr>
          <w:rFonts w:ascii="Times New Roman" w:eastAsia="Times New Roman" w:hAnsi="Times New Roman" w:cs="Times New Roman"/>
          <w:sz w:val="24"/>
          <w:szCs w:val="24"/>
        </w:rPr>
        <w:t xml:space="preserve">ázky, </w:t>
      </w:r>
      <w:r>
        <w:rPr>
          <w:rFonts w:ascii="Times New Roman" w:eastAsia="Times New Roman" w:hAnsi="Times New Roman" w:cs="Times New Roman"/>
          <w:sz w:val="24"/>
          <w:szCs w:val="24"/>
        </w:rPr>
        <w:t xml:space="preserve">jeden pisatel </w:t>
      </w:r>
      <w:r w:rsidR="00BA45E4">
        <w:rPr>
          <w:rFonts w:ascii="Times New Roman" w:eastAsia="Times New Roman" w:hAnsi="Times New Roman" w:cs="Times New Roman"/>
          <w:sz w:val="24"/>
          <w:szCs w:val="24"/>
        </w:rPr>
        <w:t xml:space="preserve">pak </w:t>
      </w:r>
      <w:r>
        <w:rPr>
          <w:rFonts w:ascii="Times New Roman" w:eastAsia="Times New Roman" w:hAnsi="Times New Roman" w:cs="Times New Roman"/>
          <w:sz w:val="24"/>
          <w:szCs w:val="24"/>
        </w:rPr>
        <w:t xml:space="preserve">podal návrhy týkající se nákupu </w:t>
      </w:r>
      <w:r w:rsidR="007F531D">
        <w:rPr>
          <w:rFonts w:ascii="Times New Roman" w:eastAsia="Times New Roman" w:hAnsi="Times New Roman" w:cs="Times New Roman"/>
          <w:sz w:val="24"/>
          <w:szCs w:val="24"/>
        </w:rPr>
        <w:t xml:space="preserve">neprůstřelných </w:t>
      </w:r>
      <w:r>
        <w:rPr>
          <w:rFonts w:ascii="Times New Roman" w:eastAsia="Times New Roman" w:hAnsi="Times New Roman" w:cs="Times New Roman"/>
          <w:sz w:val="24"/>
          <w:szCs w:val="24"/>
        </w:rPr>
        <w:t xml:space="preserve">vest pro příslušníky AČR. </w:t>
      </w:r>
      <w:r w:rsidRPr="005E6215">
        <w:rPr>
          <w:rFonts w:ascii="Times New Roman" w:eastAsia="Times New Roman" w:hAnsi="Times New Roman" w:cs="Times New Roman"/>
          <w:sz w:val="24"/>
          <w:szCs w:val="24"/>
        </w:rPr>
        <w:t>Dále se jednalo o </w:t>
      </w:r>
      <w:r>
        <w:rPr>
          <w:rFonts w:ascii="Times New Roman" w:eastAsia="Times New Roman" w:hAnsi="Times New Roman" w:cs="Times New Roman"/>
          <w:sz w:val="24"/>
          <w:szCs w:val="24"/>
        </w:rPr>
        <w:t xml:space="preserve">stížnosti na </w:t>
      </w:r>
      <w:r w:rsidRPr="005E6215">
        <w:rPr>
          <w:rFonts w:ascii="Times New Roman" w:eastAsia="Times New Roman" w:hAnsi="Times New Roman" w:cs="Times New Roman"/>
          <w:sz w:val="24"/>
          <w:szCs w:val="24"/>
        </w:rPr>
        <w:t xml:space="preserve">personální práci </w:t>
      </w:r>
      <w:r>
        <w:rPr>
          <w:rFonts w:ascii="Times New Roman" w:eastAsia="Times New Roman" w:hAnsi="Times New Roman" w:cs="Times New Roman"/>
          <w:sz w:val="24"/>
          <w:szCs w:val="24"/>
        </w:rPr>
        <w:t xml:space="preserve">- převelení k jinému útvaru či na jinou pozici (2x) a přiznání neoprávněných příplatků </w:t>
      </w:r>
      <w:r w:rsidR="007F531D">
        <w:rPr>
          <w:rFonts w:ascii="Times New Roman" w:eastAsia="Times New Roman" w:hAnsi="Times New Roman" w:cs="Times New Roman"/>
          <w:sz w:val="24"/>
          <w:szCs w:val="24"/>
        </w:rPr>
        <w:t>příslušejících pozemnímu vojenskému leteckému personálu</w:t>
      </w:r>
      <w:r>
        <w:rPr>
          <w:rFonts w:ascii="Times New Roman" w:eastAsia="Times New Roman" w:hAnsi="Times New Roman" w:cs="Times New Roman"/>
          <w:sz w:val="24"/>
          <w:szCs w:val="24"/>
        </w:rPr>
        <w:t>,</w:t>
      </w:r>
      <w:r w:rsidRPr="005E62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dále </w:t>
      </w:r>
      <w:r w:rsidR="00BA45E4">
        <w:rPr>
          <w:rFonts w:ascii="Times New Roman" w:eastAsia="Times New Roman" w:hAnsi="Times New Roman" w:cs="Times New Roman"/>
          <w:sz w:val="24"/>
          <w:szCs w:val="24"/>
        </w:rPr>
        <w:t xml:space="preserve">pak </w:t>
      </w:r>
      <w:r>
        <w:rPr>
          <w:rFonts w:ascii="Times New Roman" w:eastAsia="Times New Roman" w:hAnsi="Times New Roman" w:cs="Times New Roman"/>
          <w:sz w:val="24"/>
          <w:szCs w:val="24"/>
        </w:rPr>
        <w:t xml:space="preserve">na </w:t>
      </w:r>
      <w:r w:rsidRPr="005E6215">
        <w:rPr>
          <w:rFonts w:ascii="Times New Roman" w:eastAsia="Times New Roman" w:hAnsi="Times New Roman" w:cs="Times New Roman"/>
          <w:sz w:val="24"/>
          <w:szCs w:val="24"/>
        </w:rPr>
        <w:t>hospodaření s</w:t>
      </w:r>
      <w:r>
        <w:rPr>
          <w:rFonts w:ascii="Times New Roman" w:eastAsia="Times New Roman" w:hAnsi="Times New Roman" w:cs="Times New Roman"/>
          <w:sz w:val="24"/>
          <w:szCs w:val="24"/>
        </w:rPr>
        <w:t> </w:t>
      </w:r>
      <w:r w:rsidRPr="005E6215">
        <w:rPr>
          <w:rFonts w:ascii="Times New Roman" w:eastAsia="Times New Roman" w:hAnsi="Times New Roman" w:cs="Times New Roman"/>
          <w:sz w:val="24"/>
          <w:szCs w:val="24"/>
        </w:rPr>
        <w:t>ma</w:t>
      </w:r>
      <w:r>
        <w:rPr>
          <w:rFonts w:ascii="Times New Roman" w:eastAsia="Times New Roman" w:hAnsi="Times New Roman" w:cs="Times New Roman"/>
          <w:sz w:val="24"/>
          <w:szCs w:val="24"/>
        </w:rPr>
        <w:t>jetkem – stížnost na korupční jednání při pořizování a převodu materiálu</w:t>
      </w:r>
      <w:r w:rsidRPr="005E62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provedení nepotřebných stavebních úprav, upozornění na předražené nákupy základního vybavení a potravin pro AČR, </w:t>
      </w:r>
      <w:r w:rsidR="007F531D">
        <w:rPr>
          <w:rFonts w:ascii="Times New Roman" w:eastAsia="Times New Roman" w:hAnsi="Times New Roman" w:cs="Times New Roman"/>
          <w:sz w:val="24"/>
          <w:szCs w:val="24"/>
        </w:rPr>
        <w:t>stížnost na neoprávněnou</w:t>
      </w:r>
      <w:r>
        <w:rPr>
          <w:rFonts w:ascii="Times New Roman" w:eastAsia="Times New Roman" w:hAnsi="Times New Roman" w:cs="Times New Roman"/>
          <w:sz w:val="24"/>
          <w:szCs w:val="24"/>
        </w:rPr>
        <w:t xml:space="preserve"> těžb</w:t>
      </w:r>
      <w:r w:rsidR="005C1F3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na pozemku, který resort nabízel k </w:t>
      </w:r>
      <w:proofErr w:type="gramStart"/>
      <w:r>
        <w:rPr>
          <w:rFonts w:ascii="Times New Roman" w:eastAsia="Times New Roman" w:hAnsi="Times New Roman" w:cs="Times New Roman"/>
          <w:sz w:val="24"/>
          <w:szCs w:val="24"/>
        </w:rPr>
        <w:t xml:space="preserve">prodeji a </w:t>
      </w:r>
      <w:r w:rsidR="007F531D">
        <w:rPr>
          <w:rFonts w:ascii="Times New Roman" w:eastAsia="Times New Roman" w:hAnsi="Times New Roman" w:cs="Times New Roman"/>
          <w:sz w:val="24"/>
          <w:szCs w:val="24"/>
        </w:rPr>
        <w:t>v jednom</w:t>
      </w:r>
      <w:proofErr w:type="gramEnd"/>
      <w:r w:rsidR="007F531D">
        <w:rPr>
          <w:rFonts w:ascii="Times New Roman" w:eastAsia="Times New Roman" w:hAnsi="Times New Roman" w:cs="Times New Roman"/>
          <w:sz w:val="24"/>
          <w:szCs w:val="24"/>
        </w:rPr>
        <w:t xml:space="preserve"> případě se jednalo o podezření z</w:t>
      </w:r>
      <w:r>
        <w:rPr>
          <w:rFonts w:ascii="Times New Roman" w:eastAsia="Times New Roman" w:hAnsi="Times New Roman" w:cs="Times New Roman"/>
          <w:sz w:val="24"/>
          <w:szCs w:val="24"/>
        </w:rPr>
        <w:t xml:space="preserve"> hospodářské kriminality. Jedno z podání směřovalo vůči funkcionáři ministerstva, jehož anonymní oznamovatel obvinil z neetického jednání. </w:t>
      </w:r>
      <w:r w:rsidRPr="005E6215">
        <w:rPr>
          <w:rFonts w:ascii="Times New Roman" w:eastAsia="Times New Roman" w:hAnsi="Times New Roman" w:cs="Times New Roman"/>
          <w:sz w:val="24"/>
          <w:szCs w:val="24"/>
        </w:rPr>
        <w:t xml:space="preserve">Přijaty byly rovněž </w:t>
      </w:r>
      <w:r>
        <w:rPr>
          <w:rFonts w:ascii="Times New Roman" w:eastAsia="Times New Roman" w:hAnsi="Times New Roman" w:cs="Times New Roman"/>
          <w:sz w:val="24"/>
          <w:szCs w:val="24"/>
        </w:rPr>
        <w:t>dotazy na zajištění ochrany oznamovatelů a na osobu zaměstnanou u Ministerstva obrany, dále oznámení účastníka třetího odboje o odmítnutí převzít si osvědčení a upozornění na existenci podnětu týkajícího se resortu obrany na webových stránkách www. podnety.cz. Jednou ze stěžovaných oblastí byla též oblast dodržování právních a vnitřních předpisů při zachování rovného přístupu. Ostatní oznámení se netýkala oblasti boje s korupcí či působnosti resortu.</w:t>
      </w:r>
      <w:r w:rsidRPr="005E6215">
        <w:rPr>
          <w:rFonts w:ascii="Times New Roman" w:eastAsia="Times New Roman" w:hAnsi="Times New Roman" w:cs="Times New Roman"/>
          <w:b/>
          <w:sz w:val="24"/>
          <w:szCs w:val="24"/>
        </w:rPr>
        <w:t xml:space="preserve"> </w:t>
      </w:r>
      <w:r w:rsidRPr="005E6215">
        <w:rPr>
          <w:rFonts w:ascii="Times New Roman" w:eastAsia="Times New Roman" w:hAnsi="Times New Roman" w:cs="Times New Roman"/>
          <w:sz w:val="24"/>
          <w:szCs w:val="24"/>
        </w:rPr>
        <w:t xml:space="preserve">Nejvíce stěžovanou oblastí tak byly </w:t>
      </w:r>
      <w:r>
        <w:rPr>
          <w:rFonts w:ascii="Times New Roman" w:eastAsia="Times New Roman" w:hAnsi="Times New Roman" w:cs="Times New Roman"/>
          <w:sz w:val="24"/>
          <w:szCs w:val="24"/>
        </w:rPr>
        <w:t xml:space="preserve">stejně jako v předešlém roce </w:t>
      </w:r>
      <w:r>
        <w:rPr>
          <w:rFonts w:ascii="Times New Roman" w:eastAsia="Times New Roman" w:hAnsi="Times New Roman" w:cs="Times New Roman"/>
          <w:b/>
          <w:sz w:val="24"/>
          <w:szCs w:val="24"/>
        </w:rPr>
        <w:t>veřejné zakázky (7</w:t>
      </w:r>
      <w:r w:rsidRPr="00E14AAE">
        <w:rPr>
          <w:rFonts w:ascii="Times New Roman" w:eastAsia="Times New Roman" w:hAnsi="Times New Roman" w:cs="Times New Roman"/>
          <w:b/>
          <w:sz w:val="24"/>
          <w:szCs w:val="24"/>
        </w:rPr>
        <w:t>x)</w:t>
      </w:r>
      <w:r w:rsidR="00636343">
        <w:rPr>
          <w:rFonts w:ascii="Times New Roman" w:eastAsia="Times New Roman" w:hAnsi="Times New Roman" w:cs="Times New Roman"/>
          <w:sz w:val="24"/>
          <w:szCs w:val="24"/>
        </w:rPr>
        <w:t xml:space="preserve">, následovaly </w:t>
      </w:r>
      <w:r w:rsidR="00636343" w:rsidRPr="00636343">
        <w:rPr>
          <w:rFonts w:ascii="Times New Roman" w:eastAsia="Times New Roman" w:hAnsi="Times New Roman" w:cs="Times New Roman"/>
          <w:b/>
          <w:sz w:val="24"/>
          <w:szCs w:val="24"/>
        </w:rPr>
        <w:t>služebně-právní a</w:t>
      </w:r>
      <w:r w:rsidR="00636343">
        <w:rPr>
          <w:rFonts w:ascii="Times New Roman" w:eastAsia="Times New Roman" w:hAnsi="Times New Roman" w:cs="Times New Roman"/>
          <w:sz w:val="24"/>
          <w:szCs w:val="24"/>
        </w:rPr>
        <w:t xml:space="preserve"> </w:t>
      </w:r>
      <w:r w:rsidR="00636343">
        <w:rPr>
          <w:rFonts w:ascii="Times New Roman" w:eastAsia="Times New Roman" w:hAnsi="Times New Roman" w:cs="Times New Roman"/>
          <w:b/>
          <w:sz w:val="24"/>
          <w:szCs w:val="24"/>
        </w:rPr>
        <w:t>pracovně-právní vztahy</w:t>
      </w:r>
      <w:r>
        <w:rPr>
          <w:rFonts w:ascii="Times New Roman" w:eastAsia="Times New Roman" w:hAnsi="Times New Roman" w:cs="Times New Roman"/>
          <w:b/>
          <w:sz w:val="24"/>
          <w:szCs w:val="24"/>
        </w:rPr>
        <w:t xml:space="preserve"> (3x) a hospodaření s majetkem </w:t>
      </w:r>
      <w:r w:rsidR="00636343">
        <w:rPr>
          <w:rFonts w:ascii="Times New Roman" w:eastAsia="Times New Roman" w:hAnsi="Times New Roman" w:cs="Times New Roman"/>
          <w:b/>
          <w:sz w:val="24"/>
          <w:szCs w:val="24"/>
        </w:rPr>
        <w:t>státu</w:t>
      </w:r>
      <w:r w:rsidR="007F531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r w:rsidRPr="00E14AAE">
        <w:rPr>
          <w:rFonts w:ascii="Times New Roman" w:eastAsia="Times New Roman" w:hAnsi="Times New Roman" w:cs="Times New Roman"/>
          <w:b/>
          <w:sz w:val="24"/>
          <w:szCs w:val="24"/>
        </w:rPr>
        <w:t>x).</w:t>
      </w:r>
    </w:p>
    <w:p w:rsidR="006052D5" w:rsidRDefault="006052D5"/>
    <w:p w:rsidR="005607A9" w:rsidRDefault="005607A9"/>
    <w:p w:rsidR="007F531D" w:rsidRDefault="007F531D" w:rsidP="005607A9">
      <w:pPr>
        <w:jc w:val="center"/>
        <w:rPr>
          <w:b/>
        </w:rPr>
      </w:pPr>
    </w:p>
    <w:p w:rsidR="005607A9" w:rsidRPr="005607A9" w:rsidRDefault="005607A9" w:rsidP="005607A9">
      <w:pPr>
        <w:jc w:val="center"/>
        <w:rPr>
          <w:b/>
        </w:rPr>
      </w:pPr>
      <w:r w:rsidRPr="005607A9">
        <w:rPr>
          <w:b/>
        </w:rPr>
        <w:lastRenderedPageBreak/>
        <w:t>Stěžované oblasti</w:t>
      </w:r>
    </w:p>
    <w:p w:rsidR="005607A9" w:rsidRDefault="00C55CEF">
      <w:r>
        <w:rPr>
          <w:noProof/>
        </w:rPr>
        <w:drawing>
          <wp:inline distT="0" distB="0" distL="0" distR="0" wp14:anchorId="17A1FC17" wp14:editId="00F670B5">
            <wp:extent cx="5695950" cy="27432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07A9" w:rsidRDefault="005607A9"/>
    <w:p w:rsidR="005607A9" w:rsidRDefault="005607A9" w:rsidP="005607A9">
      <w:pPr>
        <w:spacing w:after="120" w:line="240" w:lineRule="auto"/>
        <w:ind w:firstLine="708"/>
        <w:jc w:val="both"/>
        <w:rPr>
          <w:rFonts w:ascii="Times New Roman" w:eastAsia="Times New Roman" w:hAnsi="Times New Roman" w:cs="Times New Roman"/>
          <w:sz w:val="24"/>
          <w:szCs w:val="24"/>
        </w:rPr>
      </w:pPr>
      <w:r w:rsidRPr="005E6215">
        <w:rPr>
          <w:rFonts w:ascii="Times New Roman" w:eastAsia="Times New Roman" w:hAnsi="Times New Roman" w:cs="Times New Roman"/>
          <w:sz w:val="24"/>
          <w:szCs w:val="24"/>
        </w:rPr>
        <w:t xml:space="preserve">Podání byla vyhodnocena </w:t>
      </w:r>
      <w:r>
        <w:rPr>
          <w:rFonts w:ascii="Times New Roman" w:eastAsia="Times New Roman" w:hAnsi="Times New Roman" w:cs="Times New Roman"/>
          <w:sz w:val="24"/>
          <w:szCs w:val="24"/>
        </w:rPr>
        <w:t xml:space="preserve">věcně příslušnými funkcionáři </w:t>
      </w:r>
      <w:r w:rsidR="00C03364">
        <w:rPr>
          <w:rFonts w:ascii="Times New Roman" w:eastAsia="Times New Roman" w:hAnsi="Times New Roman" w:cs="Times New Roman"/>
          <w:b/>
          <w:sz w:val="24"/>
          <w:szCs w:val="24"/>
        </w:rPr>
        <w:t>v šesti</w:t>
      </w:r>
      <w:r w:rsidRPr="00D21BD8">
        <w:rPr>
          <w:rFonts w:ascii="Times New Roman" w:eastAsia="Times New Roman" w:hAnsi="Times New Roman" w:cs="Times New Roman"/>
          <w:b/>
          <w:sz w:val="24"/>
          <w:szCs w:val="24"/>
        </w:rPr>
        <w:t xml:space="preserve"> případech</w:t>
      </w:r>
      <w:r w:rsidRPr="005E6215">
        <w:rPr>
          <w:rFonts w:ascii="Times New Roman" w:eastAsia="Times New Roman" w:hAnsi="Times New Roman" w:cs="Times New Roman"/>
          <w:sz w:val="24"/>
          <w:szCs w:val="24"/>
        </w:rPr>
        <w:t xml:space="preserve"> jako </w:t>
      </w:r>
      <w:r w:rsidRPr="00F43C3E">
        <w:rPr>
          <w:rFonts w:ascii="Times New Roman" w:eastAsia="Times New Roman" w:hAnsi="Times New Roman" w:cs="Times New Roman"/>
          <w:b/>
          <w:sz w:val="24"/>
          <w:szCs w:val="24"/>
        </w:rPr>
        <w:t>nedůvodná</w:t>
      </w:r>
      <w:r w:rsidRPr="005E621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tři případy</w:t>
      </w:r>
      <w:r w:rsidRPr="00D21B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se netýkaly působnosti Ministerstva obrany </w:t>
      </w:r>
      <w:proofErr w:type="gramStart"/>
      <w:r>
        <w:rPr>
          <w:rFonts w:ascii="Times New Roman" w:eastAsia="Times New Roman" w:hAnsi="Times New Roman" w:cs="Times New Roman"/>
          <w:b/>
          <w:sz w:val="24"/>
          <w:szCs w:val="24"/>
        </w:rPr>
        <w:t>či  oblasti</w:t>
      </w:r>
      <w:proofErr w:type="gramEnd"/>
      <w:r>
        <w:rPr>
          <w:rFonts w:ascii="Times New Roman" w:eastAsia="Times New Roman" w:hAnsi="Times New Roman" w:cs="Times New Roman"/>
          <w:b/>
          <w:sz w:val="24"/>
          <w:szCs w:val="24"/>
        </w:rPr>
        <w:t xml:space="preserve"> korupce, tři stížnosti </w:t>
      </w:r>
      <w:r w:rsidRPr="00C82444">
        <w:rPr>
          <w:rFonts w:ascii="Times New Roman" w:eastAsia="Times New Roman" w:hAnsi="Times New Roman" w:cs="Times New Roman"/>
          <w:sz w:val="24"/>
          <w:szCs w:val="24"/>
        </w:rPr>
        <w:t>byly vyhodnoceny</w:t>
      </w:r>
      <w:r>
        <w:rPr>
          <w:rFonts w:ascii="Times New Roman" w:eastAsia="Times New Roman" w:hAnsi="Times New Roman" w:cs="Times New Roman"/>
          <w:b/>
          <w:sz w:val="24"/>
          <w:szCs w:val="24"/>
        </w:rPr>
        <w:t xml:space="preserve"> jako důvodné (</w:t>
      </w:r>
      <w:r w:rsidRPr="00C82444">
        <w:rPr>
          <w:rFonts w:ascii="Times New Roman" w:eastAsia="Times New Roman" w:hAnsi="Times New Roman" w:cs="Times New Roman"/>
          <w:sz w:val="24"/>
          <w:szCs w:val="24"/>
        </w:rPr>
        <w:t>neoprávněná těžba v le</w:t>
      </w:r>
      <w:r>
        <w:rPr>
          <w:rFonts w:ascii="Times New Roman" w:eastAsia="Times New Roman" w:hAnsi="Times New Roman" w:cs="Times New Roman"/>
          <w:sz w:val="24"/>
          <w:szCs w:val="24"/>
        </w:rPr>
        <w:t xml:space="preserve">sním pozemku, dále korupční jednání u útvaru – stavební úpravy a pořizování a nestandardní převody materiálu a ve třetím případě se jednalo o neoprávněné přiznání zvláštních příplatků určených příslušníkům pozemního vojenského leteckého personálu). </w:t>
      </w:r>
      <w:r>
        <w:rPr>
          <w:rFonts w:ascii="Times New Roman" w:eastAsia="Times New Roman" w:hAnsi="Times New Roman" w:cs="Times New Roman"/>
          <w:b/>
          <w:sz w:val="24"/>
          <w:szCs w:val="24"/>
        </w:rPr>
        <w:t>Čtyři</w:t>
      </w:r>
      <w:r w:rsidRPr="00C6560E">
        <w:rPr>
          <w:rFonts w:ascii="Times New Roman" w:eastAsia="Times New Roman" w:hAnsi="Times New Roman" w:cs="Times New Roman"/>
          <w:b/>
          <w:sz w:val="24"/>
          <w:szCs w:val="24"/>
        </w:rPr>
        <w:t xml:space="preserve"> případy</w:t>
      </w:r>
      <w:r>
        <w:rPr>
          <w:rFonts w:ascii="Times New Roman" w:eastAsia="Times New Roman" w:hAnsi="Times New Roman" w:cs="Times New Roman"/>
          <w:sz w:val="24"/>
          <w:szCs w:val="24"/>
        </w:rPr>
        <w:t xml:space="preserve"> byly odloženy </w:t>
      </w:r>
      <w:r w:rsidRPr="00C6560E">
        <w:rPr>
          <w:rFonts w:ascii="Times New Roman" w:eastAsia="Times New Roman" w:hAnsi="Times New Roman" w:cs="Times New Roman"/>
          <w:b/>
          <w:sz w:val="24"/>
          <w:szCs w:val="24"/>
        </w:rPr>
        <w:t>ad acta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neboť se jednalo o zmatečné či neúplné informace a tudíž nebylo možné záležitosti prošetřit, </w:t>
      </w:r>
      <w:r w:rsidR="005C1F3D">
        <w:rPr>
          <w:rFonts w:ascii="Times New Roman" w:eastAsia="Times New Roman" w:hAnsi="Times New Roman" w:cs="Times New Roman"/>
          <w:sz w:val="24"/>
          <w:szCs w:val="24"/>
        </w:rPr>
        <w:t>ve dvou případech</w:t>
      </w:r>
      <w:r>
        <w:rPr>
          <w:rFonts w:ascii="Times New Roman" w:eastAsia="Times New Roman" w:hAnsi="Times New Roman" w:cs="Times New Roman"/>
          <w:sz w:val="24"/>
          <w:szCs w:val="24"/>
        </w:rPr>
        <w:t xml:space="preserve"> oznamovatel</w:t>
      </w:r>
      <w:r w:rsidR="005C1F3D">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posléze ohodnotil</w:t>
      </w:r>
      <w:r w:rsidR="005C1F3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stížnost jako bezpředmětnou, neboť mezitím byla uznána a vyřešena namítaná pochybení. Stížnost směřující vůči funkcionáři ministerstva obrany byla řešena z úrovně ministra, následnou reorganizací se však stala </w:t>
      </w:r>
      <w:r w:rsidRPr="005C1F3D">
        <w:rPr>
          <w:rFonts w:ascii="Times New Roman" w:eastAsia="Times New Roman" w:hAnsi="Times New Roman" w:cs="Times New Roman"/>
          <w:b/>
          <w:sz w:val="24"/>
          <w:szCs w:val="24"/>
        </w:rPr>
        <w:t>bezpředmětnou</w:t>
      </w:r>
      <w:r>
        <w:rPr>
          <w:rFonts w:ascii="Times New Roman" w:eastAsia="Times New Roman" w:hAnsi="Times New Roman" w:cs="Times New Roman"/>
          <w:sz w:val="24"/>
          <w:szCs w:val="24"/>
        </w:rPr>
        <w:t>. Šetření</w:t>
      </w:r>
      <w:r w:rsidR="00C03364">
        <w:rPr>
          <w:rFonts w:ascii="Times New Roman" w:eastAsia="Times New Roman" w:hAnsi="Times New Roman" w:cs="Times New Roman"/>
          <w:sz w:val="24"/>
          <w:szCs w:val="24"/>
        </w:rPr>
        <w:t xml:space="preserve"> </w:t>
      </w:r>
      <w:r w:rsidR="00C03364" w:rsidRPr="00C03364">
        <w:rPr>
          <w:rFonts w:ascii="Times New Roman" w:eastAsia="Times New Roman" w:hAnsi="Times New Roman" w:cs="Times New Roman"/>
          <w:b/>
          <w:sz w:val="24"/>
          <w:szCs w:val="24"/>
        </w:rPr>
        <w:t xml:space="preserve">jedné </w:t>
      </w:r>
      <w:r w:rsidR="00C03364">
        <w:rPr>
          <w:rFonts w:ascii="Times New Roman" w:eastAsia="Times New Roman" w:hAnsi="Times New Roman" w:cs="Times New Roman"/>
          <w:b/>
          <w:sz w:val="24"/>
          <w:szCs w:val="24"/>
        </w:rPr>
        <w:t>stížnosti</w:t>
      </w:r>
      <w:r>
        <w:rPr>
          <w:rFonts w:ascii="Times New Roman" w:eastAsia="Times New Roman" w:hAnsi="Times New Roman" w:cs="Times New Roman"/>
          <w:sz w:val="24"/>
          <w:szCs w:val="24"/>
        </w:rPr>
        <w:t xml:space="preserve"> </w:t>
      </w:r>
      <w:r w:rsidRPr="00C03364">
        <w:rPr>
          <w:rFonts w:ascii="Times New Roman" w:eastAsia="Times New Roman" w:hAnsi="Times New Roman" w:cs="Times New Roman"/>
          <w:b/>
          <w:sz w:val="24"/>
          <w:szCs w:val="24"/>
        </w:rPr>
        <w:t>nebylo dosud ukončeno</w:t>
      </w:r>
      <w:r>
        <w:rPr>
          <w:rFonts w:ascii="Times New Roman" w:eastAsia="Times New Roman" w:hAnsi="Times New Roman" w:cs="Times New Roman"/>
          <w:sz w:val="24"/>
          <w:szCs w:val="24"/>
        </w:rPr>
        <w:t>.</w:t>
      </w:r>
    </w:p>
    <w:p w:rsidR="005607A9" w:rsidRDefault="005607A9"/>
    <w:p w:rsidR="00A51DDC" w:rsidRDefault="00A51DDC">
      <w:bookmarkStart w:id="0" w:name="_GoBack"/>
      <w:bookmarkEnd w:id="0"/>
    </w:p>
    <w:sectPr w:rsidR="00A51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A9"/>
    <w:rsid w:val="002D036D"/>
    <w:rsid w:val="003C48B9"/>
    <w:rsid w:val="005607A9"/>
    <w:rsid w:val="005C1F3D"/>
    <w:rsid w:val="006052D5"/>
    <w:rsid w:val="0063033A"/>
    <w:rsid w:val="00636343"/>
    <w:rsid w:val="006539DD"/>
    <w:rsid w:val="007F531D"/>
    <w:rsid w:val="00A51DDC"/>
    <w:rsid w:val="00A530A2"/>
    <w:rsid w:val="00B27BDB"/>
    <w:rsid w:val="00BA45E4"/>
    <w:rsid w:val="00C03364"/>
    <w:rsid w:val="00C55CEF"/>
    <w:rsid w:val="00FF1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07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607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07A9"/>
    <w:rPr>
      <w:rFonts w:ascii="Tahoma" w:hAnsi="Tahoma" w:cs="Tahoma"/>
      <w:sz w:val="16"/>
      <w:szCs w:val="16"/>
    </w:rPr>
  </w:style>
  <w:style w:type="table" w:styleId="Mkatabulky">
    <w:name w:val="Table Grid"/>
    <w:basedOn w:val="Normlntabulka"/>
    <w:uiPriority w:val="59"/>
    <w:rsid w:val="00A5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07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607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07A9"/>
    <w:rPr>
      <w:rFonts w:ascii="Tahoma" w:hAnsi="Tahoma" w:cs="Tahoma"/>
      <w:sz w:val="16"/>
      <w:szCs w:val="16"/>
    </w:rPr>
  </w:style>
  <w:style w:type="table" w:styleId="Mkatabulky">
    <w:name w:val="Table Grid"/>
    <w:basedOn w:val="Normlntabulka"/>
    <w:uiPriority w:val="59"/>
    <w:rsid w:val="00A5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ustomXml" Target="../customXml/item3.xml"/><Relationship Id="rId5" Type="http://schemas.openxmlformats.org/officeDocument/2006/relationships/chart" Target="charts/chart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List1!$A$2:$E$2</c:f>
              <c:strCache>
                <c:ptCount val="5"/>
                <c:pt idx="0">
                  <c:v>2010</c:v>
                </c:pt>
                <c:pt idx="1">
                  <c:v>2011</c:v>
                </c:pt>
                <c:pt idx="2">
                  <c:v>2012</c:v>
                </c:pt>
                <c:pt idx="3">
                  <c:v>2013</c:v>
                </c:pt>
                <c:pt idx="4">
                  <c:v>2014</c:v>
                </c:pt>
              </c:strCache>
            </c:strRef>
          </c:cat>
          <c:val>
            <c:numRef>
              <c:f>List1!$A$3:$E$3</c:f>
              <c:numCache>
                <c:formatCode>General</c:formatCode>
                <c:ptCount val="5"/>
                <c:pt idx="0">
                  <c:v>22</c:v>
                </c:pt>
                <c:pt idx="1">
                  <c:v>23</c:v>
                </c:pt>
                <c:pt idx="2">
                  <c:v>14</c:v>
                </c:pt>
                <c:pt idx="3">
                  <c:v>13</c:v>
                </c:pt>
                <c:pt idx="4">
                  <c:v>24</c:v>
                </c:pt>
              </c:numCache>
            </c:numRef>
          </c:val>
        </c:ser>
        <c:dLbls>
          <c:showLegendKey val="0"/>
          <c:showVal val="0"/>
          <c:showCatName val="0"/>
          <c:showSerName val="0"/>
          <c:showPercent val="0"/>
          <c:showBubbleSize val="0"/>
        </c:dLbls>
        <c:gapWidth val="150"/>
        <c:shape val="cylinder"/>
        <c:axId val="80446976"/>
        <c:axId val="80448512"/>
        <c:axId val="0"/>
      </c:bar3DChart>
      <c:catAx>
        <c:axId val="80446976"/>
        <c:scaling>
          <c:orientation val="minMax"/>
        </c:scaling>
        <c:delete val="0"/>
        <c:axPos val="b"/>
        <c:majorTickMark val="out"/>
        <c:minorTickMark val="none"/>
        <c:tickLblPos val="nextTo"/>
        <c:crossAx val="80448512"/>
        <c:crosses val="autoZero"/>
        <c:auto val="1"/>
        <c:lblAlgn val="ctr"/>
        <c:lblOffset val="100"/>
        <c:noMultiLvlLbl val="0"/>
      </c:catAx>
      <c:valAx>
        <c:axId val="80448512"/>
        <c:scaling>
          <c:orientation val="minMax"/>
        </c:scaling>
        <c:delete val="0"/>
        <c:axPos val="l"/>
        <c:majorGridlines/>
        <c:numFmt formatCode="General" sourceLinked="1"/>
        <c:majorTickMark val="out"/>
        <c:minorTickMark val="none"/>
        <c:tickLblPos val="nextTo"/>
        <c:crossAx val="804469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List1!$A$1</c:f>
              <c:strCache>
                <c:ptCount val="1"/>
                <c:pt idx="0">
                  <c:v>Veřejné zakázky</c:v>
                </c:pt>
              </c:strCache>
            </c:strRef>
          </c:tx>
          <c:invertIfNegative val="0"/>
          <c:dLbls>
            <c:showLegendKey val="0"/>
            <c:showVal val="1"/>
            <c:showCatName val="0"/>
            <c:showSerName val="0"/>
            <c:showPercent val="0"/>
            <c:showBubbleSize val="0"/>
            <c:showLeaderLines val="0"/>
          </c:dLbls>
          <c:val>
            <c:numRef>
              <c:f>List1!$A$2</c:f>
              <c:numCache>
                <c:formatCode>General</c:formatCode>
                <c:ptCount val="1"/>
                <c:pt idx="0">
                  <c:v>7</c:v>
                </c:pt>
              </c:numCache>
            </c:numRef>
          </c:val>
        </c:ser>
        <c:ser>
          <c:idx val="1"/>
          <c:order val="1"/>
          <c:tx>
            <c:strRef>
              <c:f>List1!$B$1</c:f>
              <c:strCache>
                <c:ptCount val="1"/>
                <c:pt idx="0">
                  <c:v>Služebně-právní a pracovně-právní vztahy</c:v>
                </c:pt>
              </c:strCache>
            </c:strRef>
          </c:tx>
          <c:invertIfNegative val="0"/>
          <c:dLbls>
            <c:showLegendKey val="0"/>
            <c:showVal val="1"/>
            <c:showCatName val="0"/>
            <c:showSerName val="0"/>
            <c:showPercent val="0"/>
            <c:showBubbleSize val="0"/>
            <c:showLeaderLines val="0"/>
          </c:dLbls>
          <c:val>
            <c:numRef>
              <c:f>List1!$B$2</c:f>
              <c:numCache>
                <c:formatCode>General</c:formatCode>
                <c:ptCount val="1"/>
                <c:pt idx="0">
                  <c:v>3</c:v>
                </c:pt>
              </c:numCache>
            </c:numRef>
          </c:val>
        </c:ser>
        <c:ser>
          <c:idx val="2"/>
          <c:order val="2"/>
          <c:tx>
            <c:strRef>
              <c:f>List1!$C$1</c:f>
              <c:strCache>
                <c:ptCount val="1"/>
                <c:pt idx="0">
                  <c:v>Hospodaření s majetkem</c:v>
                </c:pt>
              </c:strCache>
            </c:strRef>
          </c:tx>
          <c:invertIfNegative val="0"/>
          <c:dLbls>
            <c:showLegendKey val="0"/>
            <c:showVal val="1"/>
            <c:showCatName val="0"/>
            <c:showSerName val="0"/>
            <c:showPercent val="0"/>
            <c:showBubbleSize val="0"/>
            <c:showLeaderLines val="0"/>
          </c:dLbls>
          <c:val>
            <c:numRef>
              <c:f>List1!$C$2</c:f>
              <c:numCache>
                <c:formatCode>General</c:formatCode>
                <c:ptCount val="1"/>
                <c:pt idx="0">
                  <c:v>4</c:v>
                </c:pt>
              </c:numCache>
            </c:numRef>
          </c:val>
        </c:ser>
        <c:ser>
          <c:idx val="3"/>
          <c:order val="3"/>
          <c:tx>
            <c:strRef>
              <c:f>List1!$D$1</c:f>
              <c:strCache>
                <c:ptCount val="1"/>
                <c:pt idx="0">
                  <c:v>Ostatní</c:v>
                </c:pt>
              </c:strCache>
            </c:strRef>
          </c:tx>
          <c:invertIfNegative val="0"/>
          <c:dLbls>
            <c:showLegendKey val="0"/>
            <c:showVal val="1"/>
            <c:showCatName val="0"/>
            <c:showSerName val="0"/>
            <c:showPercent val="0"/>
            <c:showBubbleSize val="0"/>
            <c:showLeaderLines val="0"/>
          </c:dLbls>
          <c:val>
            <c:numRef>
              <c:f>List1!$D$2</c:f>
              <c:numCache>
                <c:formatCode>General</c:formatCode>
                <c:ptCount val="1"/>
                <c:pt idx="0">
                  <c:v>10</c:v>
                </c:pt>
              </c:numCache>
            </c:numRef>
          </c:val>
        </c:ser>
        <c:dLbls>
          <c:showLegendKey val="0"/>
          <c:showVal val="0"/>
          <c:showCatName val="0"/>
          <c:showSerName val="0"/>
          <c:showPercent val="0"/>
          <c:showBubbleSize val="0"/>
        </c:dLbls>
        <c:gapWidth val="150"/>
        <c:shape val="cone"/>
        <c:axId val="25742720"/>
        <c:axId val="80544896"/>
        <c:axId val="0"/>
      </c:bar3DChart>
      <c:catAx>
        <c:axId val="25742720"/>
        <c:scaling>
          <c:orientation val="minMax"/>
        </c:scaling>
        <c:delete val="1"/>
        <c:axPos val="b"/>
        <c:majorTickMark val="out"/>
        <c:minorTickMark val="none"/>
        <c:tickLblPos val="nextTo"/>
        <c:crossAx val="80544896"/>
        <c:crosses val="autoZero"/>
        <c:auto val="1"/>
        <c:lblAlgn val="ctr"/>
        <c:lblOffset val="100"/>
        <c:noMultiLvlLbl val="0"/>
      </c:catAx>
      <c:valAx>
        <c:axId val="80544896"/>
        <c:scaling>
          <c:orientation val="minMax"/>
        </c:scaling>
        <c:delete val="0"/>
        <c:axPos val="l"/>
        <c:majorGridlines/>
        <c:numFmt formatCode="General" sourceLinked="1"/>
        <c:majorTickMark val="out"/>
        <c:minorTickMark val="none"/>
        <c:tickLblPos val="nextTo"/>
        <c:crossAx val="257427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16C8D9C8F8EC43BFE2FAD5D2392CE7" ma:contentTypeVersion="0" ma:contentTypeDescription="Vytvoří nový dokument" ma:contentTypeScope="" ma:versionID="a9aaf797cecbec1f93803bf9f81bd89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E604E-E823-4BA5-8D7C-F26B546E6ACA}"/>
</file>

<file path=customXml/itemProps2.xml><?xml version="1.0" encoding="utf-8"?>
<ds:datastoreItem xmlns:ds="http://schemas.openxmlformats.org/officeDocument/2006/customXml" ds:itemID="{025409E2-69EC-4F1F-B07C-18C34E3A6111}"/>
</file>

<file path=customXml/itemProps3.xml><?xml version="1.0" encoding="utf-8"?>
<ds:datastoreItem xmlns:ds="http://schemas.openxmlformats.org/officeDocument/2006/customXml" ds:itemID="{031F5322-03C0-45E9-AA49-F6F3A1C1E214}"/>
</file>

<file path=docProps/app.xml><?xml version="1.0" encoding="utf-8"?>
<Properties xmlns="http://schemas.openxmlformats.org/officeDocument/2006/extended-properties" xmlns:vt="http://schemas.openxmlformats.org/officeDocument/2006/docPropsVTypes">
  <Template>Normal</Template>
  <TotalTime>61</TotalTime>
  <Pages>2</Pages>
  <Words>463</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ACR</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Jitka - MO 1216 - ŠIS AČR</dc:creator>
  <cp:lastModifiedBy>Marešová Jitka - MO 1216 - ŠIS AČR</cp:lastModifiedBy>
  <cp:revision>14</cp:revision>
  <dcterms:created xsi:type="dcterms:W3CDTF">2015-01-06T14:44:00Z</dcterms:created>
  <dcterms:modified xsi:type="dcterms:W3CDTF">2015-03-02T10:14:00Z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0x0101001716C8D9C8F8EC43BFE2FAD5D2392CE7</vt:lpwstr>
  </property>
</Properties>
</file>